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31700" w14:textId="5D5FAA69" w:rsidR="00BE6845" w:rsidRPr="00B57D4F" w:rsidRDefault="00B57D4F">
      <w:pPr>
        <w:rPr>
          <w:b/>
          <w:bCs/>
        </w:rPr>
      </w:pPr>
      <w:r w:rsidRPr="00B57D4F">
        <w:rPr>
          <w:b/>
          <w:bCs/>
          <w:highlight w:val="yellow"/>
        </w:rPr>
        <w:t>1</w:t>
      </w:r>
      <w:r w:rsidRPr="00B57D4F">
        <w:rPr>
          <w:b/>
          <w:bCs/>
          <w:highlight w:val="yellow"/>
          <w:vertAlign w:val="superscript"/>
        </w:rPr>
        <w:t>st</w:t>
      </w:r>
      <w:r w:rsidRPr="00B57D4F">
        <w:rPr>
          <w:b/>
          <w:bCs/>
          <w:highlight w:val="yellow"/>
        </w:rPr>
        <w:t xml:space="preserve"> discussion to reply to:</w:t>
      </w:r>
    </w:p>
    <w:p w14:paraId="3A1966BF" w14:textId="7B8776BD" w:rsidR="00B57D4F" w:rsidRDefault="00B57D4F"/>
    <w:p w14:paraId="3100731C" w14:textId="77777777" w:rsidR="00B57D4F" w:rsidRPr="00B57D4F" w:rsidRDefault="00B57D4F" w:rsidP="00B57D4F">
      <w:pPr>
        <w:spacing w:after="240"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As future advanced practice nurses, we must understand that our most fundamental responsibility is to provide for the best outcomes for our patients, which includes ensuring that they receive care that is based on the most current and best evidence that has been scientifically determined but is not limited to this—we must also be providing for their comfort physically, emotionally, and psychologically (Fletcher, 2021).  One of the most essential ways to manage the health of our patients is through yearly wellness exams.  These visits provide regular opportunity to collect critical measurements of vital signs and physical measurements, as well as an opportunity to examine the patient.  But they should do more than that:  these appointments should provide an opportunity for us to interact with the patient directly, connecting with them in a way that if done properly, will lead to us teaching our patients about how they can be active participants in the team providing for their health and wellness (Fletcher, 2021). </w:t>
      </w:r>
    </w:p>
    <w:p w14:paraId="794CD435" w14:textId="77777777" w:rsidR="00B57D4F" w:rsidRPr="00B57D4F" w:rsidRDefault="00B57D4F" w:rsidP="00B57D4F">
      <w:pPr>
        <w:spacing w:after="240"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 xml:space="preserve">For this patient, our focus will be on determining what issues she is currently facing as expressed by the patient (for example, some patients are not bothered by the perimenopausal symptoms, others find them quite distressing) and we will also determine how </w:t>
      </w:r>
      <w:proofErr w:type="gramStart"/>
      <w:r w:rsidRPr="00B57D4F">
        <w:rPr>
          <w:rFonts w:ascii="Open Sans" w:eastAsia="Times New Roman" w:hAnsi="Open Sans" w:cs="Open Sans"/>
          <w:color w:val="000000"/>
        </w:rPr>
        <w:t>we  may</w:t>
      </w:r>
      <w:proofErr w:type="gramEnd"/>
      <w:r w:rsidRPr="00B57D4F">
        <w:rPr>
          <w:rFonts w:ascii="Open Sans" w:eastAsia="Times New Roman" w:hAnsi="Open Sans" w:cs="Open Sans"/>
          <w:color w:val="000000"/>
        </w:rPr>
        <w:t xml:space="preserve"> apply the current evidence-based knowledge of practices that will promote the health of the patient, finally combining all of the information to develop the patient-specific treatment plan that will meet her needs. </w:t>
      </w:r>
    </w:p>
    <w:p w14:paraId="1375E9B2" w14:textId="77777777" w:rsidR="00B57D4F" w:rsidRPr="00B57D4F" w:rsidRDefault="00B57D4F" w:rsidP="00B57D4F">
      <w:pPr>
        <w:spacing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To provide a fully holistic health care screening, it necessary to not only collect the patient’s weight, but also to collect her height measurement.  This will provide enough information for determination of the patient’s body mass index (BMI).  In our scenario, the height is not listed; for the purpose of this discussion, let’s use the CDC’s statistical height of the average American woman between the ages of 40 and 59, which is 64.3 inches (Centers for Disease Control and Prevention, 2019</w:t>
      </w:r>
      <w:r w:rsidRPr="00B57D4F">
        <w:rPr>
          <w:rFonts w:ascii="inherit" w:eastAsia="Times New Roman" w:hAnsi="inherit" w:cs="Open Sans"/>
          <w:color w:val="C00000"/>
          <w:bdr w:val="none" w:sz="0" w:space="0" w:color="auto" w:frame="1"/>
        </w:rPr>
        <w:t>).  </w:t>
      </w:r>
      <w:r w:rsidRPr="00B57D4F">
        <w:rPr>
          <w:rFonts w:ascii="Open Sans" w:eastAsia="Times New Roman" w:hAnsi="Open Sans" w:cs="Open Sans"/>
          <w:color w:val="000000"/>
        </w:rPr>
        <w:t xml:space="preserve">According to Perreault &amp; </w:t>
      </w:r>
      <w:proofErr w:type="spellStart"/>
      <w:r w:rsidRPr="00B57D4F">
        <w:rPr>
          <w:rFonts w:ascii="Open Sans" w:eastAsia="Times New Roman" w:hAnsi="Open Sans" w:cs="Open Sans"/>
          <w:color w:val="000000"/>
        </w:rPr>
        <w:t>Apovian</w:t>
      </w:r>
      <w:proofErr w:type="spellEnd"/>
      <w:r w:rsidRPr="00B57D4F">
        <w:rPr>
          <w:rFonts w:ascii="Open Sans" w:eastAsia="Times New Roman" w:hAnsi="Open Sans" w:cs="Open Sans"/>
          <w:color w:val="000000"/>
        </w:rPr>
        <w:t xml:space="preserve"> (2020)</w:t>
      </w:r>
      <w:r w:rsidRPr="00B57D4F">
        <w:rPr>
          <w:rFonts w:ascii="inherit" w:eastAsia="Times New Roman" w:hAnsi="inherit" w:cs="Open Sans"/>
          <w:color w:val="C00000"/>
          <w:bdr w:val="none" w:sz="0" w:space="0" w:color="auto" w:frame="1"/>
        </w:rPr>
        <w:t>, </w:t>
      </w:r>
      <w:r w:rsidRPr="00B57D4F">
        <w:rPr>
          <w:rFonts w:ascii="Open Sans" w:eastAsia="Times New Roman" w:hAnsi="Open Sans" w:cs="Open Sans"/>
          <w:color w:val="000000"/>
        </w:rPr>
        <w:t xml:space="preserve">determination of the BMI is the first step in determining if a patient is obese.  Obesity is a known risk factor for many detrimental physiological conditions, including HTN, dyslipidemia, cardiovascular disease, stroke, sleep apnea, and cancer (Perreault &amp; </w:t>
      </w:r>
      <w:proofErr w:type="spellStart"/>
      <w:r w:rsidRPr="00B57D4F">
        <w:rPr>
          <w:rFonts w:ascii="Open Sans" w:eastAsia="Times New Roman" w:hAnsi="Open Sans" w:cs="Open Sans"/>
          <w:color w:val="000000"/>
        </w:rPr>
        <w:t>Apovian</w:t>
      </w:r>
      <w:proofErr w:type="spellEnd"/>
      <w:r w:rsidRPr="00B57D4F">
        <w:rPr>
          <w:rFonts w:ascii="Open Sans" w:eastAsia="Times New Roman" w:hAnsi="Open Sans" w:cs="Open Sans"/>
          <w:color w:val="000000"/>
        </w:rPr>
        <w:t xml:space="preserve">, 2020).  Unfortunately, health care practitioners often avoid or overlook pre-existing </w:t>
      </w:r>
      <w:r w:rsidRPr="00B57D4F">
        <w:rPr>
          <w:rFonts w:ascii="Open Sans" w:eastAsia="Times New Roman" w:hAnsi="Open Sans" w:cs="Open Sans"/>
          <w:color w:val="000000"/>
        </w:rPr>
        <w:lastRenderedPageBreak/>
        <w:t xml:space="preserve">states of obesity, but avoiding the subject is doing a disservice to our patients (Srivastava et al., 2018).  This is where the advice of Fletcher comes into </w:t>
      </w:r>
      <w:proofErr w:type="gramStart"/>
      <w:r w:rsidRPr="00B57D4F">
        <w:rPr>
          <w:rFonts w:ascii="Open Sans" w:eastAsia="Times New Roman" w:hAnsi="Open Sans" w:cs="Open Sans"/>
          <w:color w:val="000000"/>
        </w:rPr>
        <w:t>play;  the</w:t>
      </w:r>
      <w:proofErr w:type="gramEnd"/>
      <w:r w:rsidRPr="00B57D4F">
        <w:rPr>
          <w:rFonts w:ascii="Open Sans" w:eastAsia="Times New Roman" w:hAnsi="Open Sans" w:cs="Open Sans"/>
          <w:color w:val="000000"/>
        </w:rPr>
        <w:t xml:space="preserve"> previously established and nurtured relationship with our patient will provide an environment that is based on honesty and will also highlight that the practitioner’s goals are a mix of what the evidence shows is best practice and for the good of the patient and what the patient is interested in committing to achieving. </w:t>
      </w:r>
    </w:p>
    <w:p w14:paraId="2D930FA2" w14:textId="77777777" w:rsidR="00B57D4F" w:rsidRPr="00B57D4F" w:rsidRDefault="00B57D4F" w:rsidP="00B57D4F">
      <w:pPr>
        <w:spacing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The patient expresses her concerns with the vasomotor symptoms that are likely the result of the perimenopausal state.  She is 46 years old—within the range of average onset of perimenopause.  The age range for the average arrival of peri-menopausal symptoms is between 45 and 55 years (Rosenthal &amp; Burchum, 2021).  As the process begins, a woman may experience some irregular periods and anovulatory cycles.  At the same time, many women experience the vasomotor symptoms that accompany the declining hormones—hot flashes may begin to occur (Santen et al., 2020).  According to Santen et al., as many as 75 to 80 percent of women in the United States experience these symptoms.  Other symptoms that typically occur as a result of declining production of estrogen in the ovaries are genitourinary symptoms such as vaginal dryness and urethral atrophy resulting in urethritis and urinary tract infections and dyspareunia (Rosenthal and Burchum, 2021).  Current data suggests that this is the prime time for maximal effects of the use of hormone replacement therapy—women within ten years of the onset of menopausal symptoms who are younger than age 60, patient has no contraindications, current evidence supports HRT as the most effective treatment for the vasomotor and vulvovaginal issues that accompany perimenopause (Martin &amp; Barbieri, 2020).</w:t>
      </w:r>
    </w:p>
    <w:p w14:paraId="7DCB75A4"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color w:val="000000"/>
        </w:rPr>
        <w:t>Current Possible Contraindications for HRT</w:t>
      </w:r>
    </w:p>
    <w:p w14:paraId="016D12D6"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xml:space="preserve">Hypertension:  Although it may seem immediately alarming that this patient’s blood pressure reading is elevated, the judgement of her blood pressure as her hypertension being out of control at this time is premature—a single elevated reading is just that—a single reading.  Although this patient is diagnosed with hypertension and is on two medications for the condition, we are only provided with one blood pressure reading at today’s encounter, and we do not know the circumstances of that measurement.  For example—was she seated, relaxed, both </w:t>
      </w:r>
      <w:r w:rsidRPr="00B57D4F">
        <w:rPr>
          <w:rFonts w:ascii="Open Sans" w:eastAsia="Times New Roman" w:hAnsi="Open Sans" w:cs="Open Sans"/>
          <w:color w:val="000000"/>
        </w:rPr>
        <w:lastRenderedPageBreak/>
        <w:t xml:space="preserve">feet on the floor after at least 5 minutes of a rest period?  Was her sleeve up and loose around her arm?  Was the cuff size and placement correct?  According to Rosenthal and Burchum (2021), at least two readings that are five minutes or more apart should be taken at an encounter, with confirmation of the high reading obtained from the opposite arm, if not contraindicated.  According to </w:t>
      </w:r>
      <w:proofErr w:type="spellStart"/>
      <w:r w:rsidRPr="00B57D4F">
        <w:rPr>
          <w:rFonts w:ascii="Open Sans" w:eastAsia="Times New Roman" w:hAnsi="Open Sans" w:cs="Open Sans"/>
          <w:color w:val="000000"/>
        </w:rPr>
        <w:t>Whelton</w:t>
      </w:r>
      <w:proofErr w:type="spellEnd"/>
      <w:r w:rsidRPr="00B57D4F">
        <w:rPr>
          <w:rFonts w:ascii="Open Sans" w:eastAsia="Times New Roman" w:hAnsi="Open Sans" w:cs="Open Sans"/>
          <w:color w:val="000000"/>
        </w:rPr>
        <w:t xml:space="preserve"> et al., 2018, current guidelines from the American College of Cardiology and the American Heart Association recommend obtaining serial blood pressure measurements taken outside of the clinic setting either by the patient or with the use of an ambulatory blood pressure measurement device that measures at distinct time intervals over a </w:t>
      </w:r>
      <w:proofErr w:type="gramStart"/>
      <w:r w:rsidRPr="00B57D4F">
        <w:rPr>
          <w:rFonts w:ascii="Open Sans" w:eastAsia="Times New Roman" w:hAnsi="Open Sans" w:cs="Open Sans"/>
          <w:color w:val="000000"/>
        </w:rPr>
        <w:t>24-48 hour</w:t>
      </w:r>
      <w:proofErr w:type="gramEnd"/>
      <w:r w:rsidRPr="00B57D4F">
        <w:rPr>
          <w:rFonts w:ascii="Open Sans" w:eastAsia="Times New Roman" w:hAnsi="Open Sans" w:cs="Open Sans"/>
          <w:color w:val="000000"/>
        </w:rPr>
        <w:t xml:space="preserve"> period. </w:t>
      </w:r>
    </w:p>
    <w:p w14:paraId="507851C4"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Has the patient been compliant with her blood pressure medications?  According to Basile and Bloch (2021</w:t>
      </w:r>
      <w:proofErr w:type="gramStart"/>
      <w:r w:rsidRPr="00B57D4F">
        <w:rPr>
          <w:rFonts w:ascii="Open Sans" w:eastAsia="Times New Roman" w:hAnsi="Open Sans" w:cs="Open Sans"/>
          <w:color w:val="000000"/>
        </w:rPr>
        <w:t>),  a</w:t>
      </w:r>
      <w:proofErr w:type="gramEnd"/>
      <w:r w:rsidRPr="00B57D4F">
        <w:rPr>
          <w:rFonts w:ascii="Open Sans" w:eastAsia="Times New Roman" w:hAnsi="Open Sans" w:cs="Open Sans"/>
          <w:color w:val="000000"/>
        </w:rPr>
        <w:t xml:space="preserve"> patient who  admits to non-compliance with medication is likely taking only 80 percent or less of the prescribed doses.  Basile and Bloch also stress that this non-compliance with treatment regime is a significant contributor to sub-optimal blood pressure control.  There are many factors that affect compliance, including unwanted side effects, convenience, and cost of treatment.  All of these should be explored to determine if there is something that can be adjusted related to these things that will help the blood pressure. </w:t>
      </w:r>
    </w:p>
    <w:p w14:paraId="32E5A49F"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xml:space="preserve">Family History of Breast Cancer:  According to </w:t>
      </w:r>
      <w:proofErr w:type="spellStart"/>
      <w:r w:rsidRPr="00B57D4F">
        <w:rPr>
          <w:rFonts w:ascii="Open Sans" w:eastAsia="Times New Roman" w:hAnsi="Open Sans" w:cs="Open Sans"/>
          <w:color w:val="000000"/>
        </w:rPr>
        <w:t>Chalassani</w:t>
      </w:r>
      <w:proofErr w:type="spellEnd"/>
      <w:r w:rsidRPr="00B57D4F">
        <w:rPr>
          <w:rFonts w:ascii="Open Sans" w:eastAsia="Times New Roman" w:hAnsi="Open Sans" w:cs="Open Sans"/>
          <w:color w:val="000000"/>
        </w:rPr>
        <w:t xml:space="preserve"> (2021), the most widely recognized risk for breast cancer is a family history for breast cancer; the risk is quadrupled if the relative is a mother or a sister (especially if diagnosed before the age of 50) and is 5 times greater if there are two or more first degree relatives.</w:t>
      </w:r>
    </w:p>
    <w:p w14:paraId="2EE93397"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color w:val="000000"/>
        </w:rPr>
        <w:t>Treatment Recommendations</w:t>
      </w:r>
    </w:p>
    <w:p w14:paraId="436CFACD"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For this patient, I would recommend the following interventions:</w:t>
      </w:r>
    </w:p>
    <w:p w14:paraId="46DE673C" w14:textId="77777777" w:rsidR="00B57D4F" w:rsidRPr="00B57D4F" w:rsidRDefault="00B57D4F" w:rsidP="00B57D4F">
      <w:pPr>
        <w:numPr>
          <w:ilvl w:val="0"/>
          <w:numId w:val="1"/>
        </w:numPr>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  According to Chopra et al., (2019), menopause is a known time of risk for weight gain in a woman’s life, due to declining circulating ovarian estrogen levels.  Behavior modification activities that promote healthier living are key to a holistic care approach.  </w:t>
      </w:r>
    </w:p>
    <w:p w14:paraId="5D2B3DB0" w14:textId="77777777" w:rsidR="00B57D4F" w:rsidRPr="00B57D4F" w:rsidRDefault="00B57D4F" w:rsidP="00B57D4F">
      <w:pPr>
        <w:numPr>
          <w:ilvl w:val="0"/>
          <w:numId w:val="2"/>
        </w:numPr>
        <w:ind w:left="2160"/>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 xml:space="preserve">I would inquire about her current level of physical activity.  Current recommendations from the American Heart Association highlight that Americans should move more and sit less during the day (Piercy &amp; Troiano, 2018).  The current recommendations are </w:t>
      </w:r>
      <w:proofErr w:type="gramStart"/>
      <w:r w:rsidRPr="00B57D4F">
        <w:rPr>
          <w:rFonts w:ascii="inherit" w:eastAsia="Times New Roman" w:hAnsi="inherit" w:cs="Open Sans"/>
          <w:color w:val="000000"/>
          <w:sz w:val="20"/>
          <w:szCs w:val="20"/>
        </w:rPr>
        <w:t>to”…</w:t>
      </w:r>
      <w:proofErr w:type="gramEnd"/>
      <w:r w:rsidRPr="00B57D4F">
        <w:rPr>
          <w:rFonts w:ascii="inherit" w:eastAsia="Times New Roman" w:hAnsi="inherit" w:cs="Open Sans"/>
          <w:color w:val="000000"/>
          <w:sz w:val="20"/>
          <w:szCs w:val="20"/>
        </w:rPr>
        <w:t xml:space="preserve"> do at least 150 min (2 h and 30 min) to 300 min (5 h) a week of moderate-intensity, or 75 min (1 h and 15 min) to 150 min (2 h and 30 min) a week of vigorous-intensity aerobic physical activity, or an equivalent combination of moderate- and vigorous-intensity aerobic activity. Preferably, aerobic activity </w:t>
      </w:r>
      <w:r w:rsidRPr="00B57D4F">
        <w:rPr>
          <w:rFonts w:ascii="inherit" w:eastAsia="Times New Roman" w:hAnsi="inherit" w:cs="Open Sans"/>
          <w:color w:val="000000"/>
          <w:sz w:val="20"/>
          <w:szCs w:val="20"/>
        </w:rPr>
        <w:lastRenderedPageBreak/>
        <w:t>should be spread throughout the week” (Piercy &amp; Troiano, 2018).  Although these are the recommendations, it would not be beneficial to expect a patient who is sedentary to immediately aim for this level of activity.  Rather, I would encourage a sedentary patient to start with small attainable goals, as any activity is better than no activity.  Piercy and Troiano assert that any increased activity, even as small as parking the car further from the entrance to the store will provide benefits to cardiovascular health, in fact, Piercy and Troiano state that not only will increase in activity help to lower body weight, but it will also help to improve blood pressure.  </w:t>
      </w:r>
    </w:p>
    <w:p w14:paraId="5EEA816C" w14:textId="77777777" w:rsidR="00B57D4F" w:rsidRPr="00B57D4F" w:rsidRDefault="00B57D4F" w:rsidP="00B57D4F">
      <w:pPr>
        <w:numPr>
          <w:ilvl w:val="0"/>
          <w:numId w:val="2"/>
        </w:numPr>
        <w:ind w:left="2160"/>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I would inquire about the patient’s feelings about seeing an outpatient dietician for healthy eating guidance.  The typical American diet is structured around convenience, but there are negative consequences when convenience is the driver of food choice.  Often these quick and easy food choices are high in fat, high in sodium, high in sugar, and low in nutritional value (Chopra et al., 2019).  Another factor related to the changing hormones of perimenopause and diet is declining bone density.  The complications from higher risk for bone fractures as a woman ages should be discussed and a visit with the dietician can provide a detailed evaluation of the patient’s current calcium and vitamin D intake.  Depending on the patient’s intake (which may be lacking due to physiological limitations such as lactose intolerance), as an advanced practice nurse, I would consider recommending vitamin D3 and calcium supplements.  </w:t>
      </w:r>
    </w:p>
    <w:p w14:paraId="6573E912" w14:textId="77777777" w:rsidR="00B57D4F" w:rsidRPr="00B57D4F" w:rsidRDefault="00B57D4F" w:rsidP="00B57D4F">
      <w:pPr>
        <w:numPr>
          <w:ilvl w:val="0"/>
          <w:numId w:val="3"/>
        </w:numPr>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 To address this patient’s concerns about her vasomotor symptoms, I would like to start with a modest approach.  Although there is not sufficient data to state hormone replacement therapy is absolutely contraindicated in patients with a family history of breast cancer, I would prefer to avoid a systemic version of such in this patient, if possible.  Another contraindication for the use of systemic hormone replacement therapy in this patient is hypertension, as this puts her in a higher cardiovascular risk category.  Accordingly, I would start with one of the two following options for the hot flashes:  </w:t>
      </w:r>
    </w:p>
    <w:p w14:paraId="2AC13367" w14:textId="77777777" w:rsidR="00B57D4F" w:rsidRPr="00B57D4F" w:rsidRDefault="00B57D4F" w:rsidP="00B57D4F">
      <w:pPr>
        <w:numPr>
          <w:ilvl w:val="0"/>
          <w:numId w:val="4"/>
        </w:numPr>
        <w:ind w:left="2160"/>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I would order Paroxetine 7.5 mg by mouth daily.  This low dose SSRI is approved by the FDA for treatment of vasomotor symptoms and has shown to be moderately effective (Santen et al., 2020).  The patient may also experience some benefit for any mood swings she may have with this drug, although if she is having significant difficulty with this symptom, the dose ordered may need to be increased.  </w:t>
      </w:r>
    </w:p>
    <w:p w14:paraId="50DDC46B" w14:textId="77777777" w:rsidR="00B57D4F" w:rsidRPr="00B57D4F" w:rsidRDefault="00B57D4F" w:rsidP="00B57D4F">
      <w:pPr>
        <w:numPr>
          <w:ilvl w:val="0"/>
          <w:numId w:val="4"/>
        </w:numPr>
        <w:ind w:left="2160"/>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 xml:space="preserve">Alternately and dependent on the further evaluation of the patient’s blood pressure and whether the Paroxetine was not effective, I would consider ordering Clonidine, </w:t>
      </w:r>
      <w:proofErr w:type="gramStart"/>
      <w:r w:rsidRPr="00B57D4F">
        <w:rPr>
          <w:rFonts w:ascii="inherit" w:eastAsia="Times New Roman" w:hAnsi="inherit" w:cs="Open Sans"/>
          <w:color w:val="000000"/>
          <w:sz w:val="20"/>
          <w:szCs w:val="20"/>
        </w:rPr>
        <w:t>a  centrally</w:t>
      </w:r>
      <w:proofErr w:type="gramEnd"/>
      <w:r w:rsidRPr="00B57D4F">
        <w:rPr>
          <w:rFonts w:ascii="inherit" w:eastAsia="Times New Roman" w:hAnsi="inherit" w:cs="Open Sans"/>
          <w:color w:val="000000"/>
          <w:sz w:val="20"/>
          <w:szCs w:val="20"/>
        </w:rPr>
        <w:t xml:space="preserve"> active alpha-2 adrenergic agonist that may also offer some improvement of blood pressure.  Evidence has shown Clonidine is moderately effective in improving vasomotor hot flashes, however, its side effect profile is sometimes not well tolerated—dry mouth, dizziness, sedation, constipation (Santen et al., 2020).  Clonidine transdermal patch TSS-1 is the recommended starting dose, which delivers 0.1 per day, and this dose may be increased in the future, if tolerated.  This is not my </w:t>
      </w:r>
      <w:proofErr w:type="gramStart"/>
      <w:r w:rsidRPr="00B57D4F">
        <w:rPr>
          <w:rFonts w:ascii="inherit" w:eastAsia="Times New Roman" w:hAnsi="inherit" w:cs="Open Sans"/>
          <w:color w:val="000000"/>
          <w:sz w:val="20"/>
          <w:szCs w:val="20"/>
        </w:rPr>
        <w:t>first choice</w:t>
      </w:r>
      <w:proofErr w:type="gramEnd"/>
      <w:r w:rsidRPr="00B57D4F">
        <w:rPr>
          <w:rFonts w:ascii="inherit" w:eastAsia="Times New Roman" w:hAnsi="inherit" w:cs="Open Sans"/>
          <w:color w:val="000000"/>
          <w:sz w:val="20"/>
          <w:szCs w:val="20"/>
        </w:rPr>
        <w:t xml:space="preserve"> treatment but is an option.  </w:t>
      </w:r>
    </w:p>
    <w:p w14:paraId="66C51A14" w14:textId="77777777" w:rsidR="00B57D4F" w:rsidRPr="00B57D4F" w:rsidRDefault="00B57D4F" w:rsidP="00B57D4F">
      <w:pPr>
        <w:numPr>
          <w:ilvl w:val="0"/>
          <w:numId w:val="5"/>
        </w:numPr>
        <w:rPr>
          <w:rFonts w:ascii="inherit" w:eastAsia="Times New Roman" w:hAnsi="inherit" w:cs="Open Sans"/>
          <w:color w:val="000000"/>
          <w:sz w:val="20"/>
          <w:szCs w:val="20"/>
        </w:rPr>
      </w:pPr>
      <w:r w:rsidRPr="00B57D4F">
        <w:rPr>
          <w:rFonts w:ascii="inherit" w:eastAsia="Times New Roman" w:hAnsi="inherit" w:cs="Open Sans"/>
          <w:color w:val="000000"/>
          <w:sz w:val="20"/>
          <w:szCs w:val="20"/>
        </w:rPr>
        <w:t xml:space="preserve"> For the patient’s genitourinary symptoms, I would start with </w:t>
      </w:r>
      <w:proofErr w:type="gramStart"/>
      <w:r w:rsidRPr="00B57D4F">
        <w:rPr>
          <w:rFonts w:ascii="inherit" w:eastAsia="Times New Roman" w:hAnsi="inherit" w:cs="Open Sans"/>
          <w:color w:val="000000"/>
          <w:sz w:val="20"/>
          <w:szCs w:val="20"/>
        </w:rPr>
        <w:t>over the counter</w:t>
      </w:r>
      <w:proofErr w:type="gramEnd"/>
      <w:r w:rsidRPr="00B57D4F">
        <w:rPr>
          <w:rFonts w:ascii="inherit" w:eastAsia="Times New Roman" w:hAnsi="inherit" w:cs="Open Sans"/>
          <w:color w:val="000000"/>
          <w:sz w:val="20"/>
          <w:szCs w:val="20"/>
        </w:rPr>
        <w:t xml:space="preserve"> vaginal lubricant preparations, as these are the suggested first-line treatment (Bachmann &amp; Santen, 2021).  If the patient is experiencing symptoms of a urinary tract infection, I would order a clean catch midstream urinalysis with reflex culture and sensitivity (C &amp; S) testing ordered if the urinalysis results show infection.  Antimicrobial treatment would be ordered dependent on the results of the C &amp; S.    </w:t>
      </w:r>
    </w:p>
    <w:p w14:paraId="32866FF8" w14:textId="77777777" w:rsidR="00B57D4F" w:rsidRPr="00B57D4F" w:rsidRDefault="00B57D4F" w:rsidP="00B57D4F">
      <w:pPr>
        <w:spacing w:after="240"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 xml:space="preserve">As stated previously, I prefer a holistic approach to treatment.  To do this, follow up appointments are likely necessary to assess response to treatment and provide further patient teaching.  The perimenopausal process is not completed in months, but rather, it is one that occurs over several years.  Accordingly, I feel that </w:t>
      </w:r>
      <w:r w:rsidRPr="00B57D4F">
        <w:rPr>
          <w:rFonts w:ascii="Open Sans" w:eastAsia="Times New Roman" w:hAnsi="Open Sans" w:cs="Open Sans"/>
          <w:color w:val="000000"/>
        </w:rPr>
        <w:lastRenderedPageBreak/>
        <w:t>an approach that promotes open dialog between patient and practitioner will provide the best results. </w:t>
      </w:r>
    </w:p>
    <w:p w14:paraId="6A825CDA" w14:textId="77777777" w:rsidR="00B57D4F" w:rsidRPr="00B57D4F" w:rsidRDefault="00B57D4F" w:rsidP="00B57D4F">
      <w:pPr>
        <w:spacing w:after="240" w:line="390" w:lineRule="atLeast"/>
        <w:ind w:firstLine="720"/>
        <w:jc w:val="center"/>
        <w:rPr>
          <w:rFonts w:ascii="Open Sans" w:eastAsia="Times New Roman" w:hAnsi="Open Sans" w:cs="Open Sans"/>
          <w:color w:val="000000"/>
        </w:rPr>
      </w:pPr>
      <w:r w:rsidRPr="00B57D4F">
        <w:rPr>
          <w:rFonts w:ascii="Open Sans" w:eastAsia="Times New Roman" w:hAnsi="Open Sans" w:cs="Open Sans"/>
          <w:color w:val="000000"/>
        </w:rPr>
        <w:t>References</w:t>
      </w:r>
    </w:p>
    <w:p w14:paraId="2630F648"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Bachmann, G., &amp; Santen, R. (2021, March 23). Genitourinary syndrome of menopause (vulvovaginal atrophy): Treatment. Up to Date. https://www.uptodate.com/contents/genitourinary-syndrome-of-menopause-vulvovaginal-atrophy-treatment</w:t>
      </w:r>
    </w:p>
    <w:p w14:paraId="3F64EEE4"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Basile, J., &amp; Bloch, M. (2021, January 27). Overview of hypertension in adults. UpToDate. https://www.uptodate.com/contents/overview-of-hypertension-in-adults?search=treatment%20of%20essential%20hypertension%27&amp;source=search_result&amp;selectedTitle=2~150&amp;usage_type=default&amp;display_rank=2</w:t>
      </w:r>
    </w:p>
    <w:p w14:paraId="1E2D664A" w14:textId="77777777" w:rsidR="00B57D4F" w:rsidRPr="00B57D4F" w:rsidRDefault="00B57D4F" w:rsidP="00B57D4F">
      <w:pPr>
        <w:spacing w:line="390" w:lineRule="atLeast"/>
        <w:ind w:left="720" w:hanging="720"/>
        <w:rPr>
          <w:rFonts w:ascii="Open Sans" w:eastAsia="Times New Roman" w:hAnsi="Open Sans" w:cs="Open Sans"/>
          <w:color w:val="000000"/>
        </w:rPr>
      </w:pPr>
      <w:r w:rsidRPr="00B57D4F">
        <w:rPr>
          <w:rFonts w:ascii="Calibri" w:eastAsia="Times New Roman" w:hAnsi="Calibri" w:cs="Calibri"/>
          <w:color w:val="000000"/>
          <w:sz w:val="22"/>
          <w:szCs w:val="22"/>
          <w:bdr w:val="none" w:sz="0" w:space="0" w:color="auto" w:frame="1"/>
        </w:rPr>
        <w:t>Centers for Disease Control and Prevention. (2019). </w:t>
      </w:r>
      <w:proofErr w:type="spellStart"/>
      <w:r w:rsidRPr="00B57D4F">
        <w:rPr>
          <w:rFonts w:ascii="Open Sans" w:eastAsia="Times New Roman" w:hAnsi="Open Sans" w:cs="Open Sans"/>
          <w:i/>
          <w:iCs/>
          <w:color w:val="000000"/>
          <w:sz w:val="22"/>
          <w:szCs w:val="22"/>
          <w:bdr w:val="none" w:sz="0" w:space="0" w:color="auto" w:frame="1"/>
        </w:rPr>
        <w:t>FastStats</w:t>
      </w:r>
      <w:proofErr w:type="spellEnd"/>
      <w:r w:rsidRPr="00B57D4F">
        <w:rPr>
          <w:rFonts w:ascii="Open Sans" w:eastAsia="Times New Roman" w:hAnsi="Open Sans" w:cs="Open Sans"/>
          <w:i/>
          <w:iCs/>
          <w:color w:val="000000"/>
          <w:sz w:val="22"/>
          <w:szCs w:val="22"/>
          <w:bdr w:val="none" w:sz="0" w:space="0" w:color="auto" w:frame="1"/>
        </w:rPr>
        <w:t xml:space="preserve"> - Body Measurements</w:t>
      </w:r>
      <w:r w:rsidRPr="00B57D4F">
        <w:rPr>
          <w:rFonts w:ascii="Calibri" w:eastAsia="Times New Roman" w:hAnsi="Calibri" w:cs="Calibri"/>
          <w:color w:val="000000"/>
          <w:sz w:val="22"/>
          <w:szCs w:val="22"/>
          <w:bdr w:val="none" w:sz="0" w:space="0" w:color="auto" w:frame="1"/>
        </w:rPr>
        <w:t>. Centers for Disease Control and Prevention. </w:t>
      </w:r>
      <w:hyperlink r:id="rId5" w:history="1">
        <w:r w:rsidRPr="00B57D4F">
          <w:rPr>
            <w:rFonts w:ascii="inherit" w:eastAsia="Times New Roman" w:hAnsi="inherit" w:cs="Calibri"/>
            <w:color w:val="0000FF"/>
            <w:sz w:val="21"/>
            <w:szCs w:val="21"/>
            <w:u w:val="single"/>
            <w:bdr w:val="none" w:sz="0" w:space="0" w:color="auto" w:frame="1"/>
          </w:rPr>
          <w:t>https://www.cdc.gov/nchs/fastats/body-measurements.htm</w:t>
        </w:r>
      </w:hyperlink>
    </w:p>
    <w:p w14:paraId="4EB9E6F8" w14:textId="77777777" w:rsidR="00B57D4F" w:rsidRPr="00B57D4F" w:rsidRDefault="00B57D4F" w:rsidP="00B57D4F">
      <w:pPr>
        <w:spacing w:line="390" w:lineRule="atLeast"/>
        <w:ind w:left="720" w:hanging="720"/>
        <w:rPr>
          <w:rFonts w:ascii="Open Sans" w:eastAsia="Times New Roman" w:hAnsi="Open Sans" w:cs="Open Sans"/>
          <w:color w:val="000000"/>
        </w:rPr>
      </w:pPr>
      <w:proofErr w:type="spellStart"/>
      <w:r w:rsidRPr="00B57D4F">
        <w:rPr>
          <w:rFonts w:ascii="Open Sans" w:eastAsia="Times New Roman" w:hAnsi="Open Sans" w:cs="Open Sans"/>
          <w:color w:val="000000"/>
        </w:rPr>
        <w:t>Chalasani</w:t>
      </w:r>
      <w:proofErr w:type="spellEnd"/>
      <w:r w:rsidRPr="00B57D4F">
        <w:rPr>
          <w:rFonts w:ascii="Open Sans" w:eastAsia="Times New Roman" w:hAnsi="Open Sans" w:cs="Open Sans"/>
          <w:color w:val="000000"/>
        </w:rPr>
        <w:t>, P. (2021, February 4). </w:t>
      </w:r>
      <w:r w:rsidRPr="00B57D4F">
        <w:rPr>
          <w:rFonts w:ascii="Open Sans" w:eastAsia="Times New Roman" w:hAnsi="Open Sans" w:cs="Open Sans"/>
          <w:i/>
          <w:iCs/>
          <w:color w:val="000000"/>
        </w:rPr>
        <w:t>What are guidelines for HRT in women at high risk of breast cancer?</w:t>
      </w:r>
      <w:r w:rsidRPr="00B57D4F">
        <w:rPr>
          <w:rFonts w:ascii="Open Sans" w:eastAsia="Times New Roman" w:hAnsi="Open Sans" w:cs="Open Sans"/>
          <w:color w:val="000000"/>
        </w:rPr>
        <w:t> Www.medscape.com. </w:t>
      </w:r>
      <w:hyperlink r:id="rId6" w:anchor=":~:text=There%20are%20currently%20no%20formal" w:history="1">
        <w:r w:rsidRPr="00B57D4F">
          <w:rPr>
            <w:rFonts w:ascii="inherit" w:eastAsia="Times New Roman" w:hAnsi="inherit" w:cs="Open Sans"/>
            <w:color w:val="0000FF"/>
            <w:sz w:val="20"/>
            <w:szCs w:val="20"/>
            <w:u w:val="single"/>
            <w:bdr w:val="none" w:sz="0" w:space="0" w:color="auto" w:frame="1"/>
          </w:rPr>
          <w:t>https://www.medscape.com/answers/1947145-</w:t>
        </w:r>
        <w:r w:rsidRPr="00B57D4F">
          <w:rPr>
            <w:rFonts w:ascii="Times New Roman" w:eastAsia="Times New Roman" w:hAnsi="Times New Roman" w:cs="Times New Roman"/>
            <w:color w:val="0000FF"/>
            <w:u w:val="single"/>
            <w:bdr w:val="none" w:sz="0" w:space="0" w:color="auto" w:frame="1"/>
          </w:rPr>
          <w:t>155262/what-are-</w:t>
        </w:r>
        <w:r w:rsidRPr="00B57D4F">
          <w:rPr>
            <w:rFonts w:ascii="inherit" w:eastAsia="Times New Roman" w:hAnsi="inherit" w:cs="Open Sans"/>
            <w:color w:val="0000FF"/>
            <w:sz w:val="20"/>
            <w:szCs w:val="20"/>
            <w:u w:val="single"/>
            <w:bdr w:val="none" w:sz="0" w:space="0" w:color="auto" w:frame="1"/>
          </w:rPr>
          <w:t>guidelines-for-hrt-in-women-at-high-risk-of-breast-cancer#:~:text=There%20are%20currently%20no%20formal</w:t>
        </w:r>
      </w:hyperlink>
    </w:p>
    <w:p w14:paraId="4CDE99E0" w14:textId="77777777" w:rsidR="00B57D4F" w:rsidRPr="00B57D4F" w:rsidRDefault="00B57D4F" w:rsidP="00B57D4F">
      <w:pPr>
        <w:spacing w:line="390" w:lineRule="atLeast"/>
        <w:ind w:left="720" w:hanging="720"/>
        <w:rPr>
          <w:rFonts w:ascii="Open Sans" w:eastAsia="Times New Roman" w:hAnsi="Open Sans" w:cs="Open Sans"/>
          <w:color w:val="000000"/>
        </w:rPr>
      </w:pPr>
      <w:r w:rsidRPr="00B57D4F">
        <w:rPr>
          <w:rFonts w:ascii="Open Sans" w:eastAsia="Times New Roman" w:hAnsi="Open Sans" w:cs="Open Sans"/>
          <w:color w:val="000000"/>
        </w:rPr>
        <w:t>Chopra, S., Sharma, K., Ranjan, P.</w:t>
      </w:r>
      <w:proofErr w:type="gramStart"/>
      <w:r w:rsidRPr="00B57D4F">
        <w:rPr>
          <w:rFonts w:ascii="Open Sans" w:eastAsia="Times New Roman" w:hAnsi="Open Sans" w:cs="Open Sans"/>
          <w:color w:val="000000"/>
        </w:rPr>
        <w:t>,  Aparna</w:t>
      </w:r>
      <w:proofErr w:type="gramEnd"/>
      <w:r w:rsidRPr="00B57D4F">
        <w:rPr>
          <w:rFonts w:ascii="Open Sans" w:eastAsia="Times New Roman" w:hAnsi="Open Sans" w:cs="Open Sans"/>
          <w:color w:val="000000"/>
        </w:rPr>
        <w:t xml:space="preserve">., Malhotra, A., Vikram, </w:t>
      </w:r>
      <w:proofErr w:type="spellStart"/>
      <w:r w:rsidRPr="00B57D4F">
        <w:rPr>
          <w:rFonts w:ascii="Open Sans" w:eastAsia="Times New Roman" w:hAnsi="Open Sans" w:cs="Open Sans"/>
          <w:color w:val="000000"/>
        </w:rPr>
        <w:t>NavalK</w:t>
      </w:r>
      <w:proofErr w:type="spellEnd"/>
      <w:r w:rsidRPr="00B57D4F">
        <w:rPr>
          <w:rFonts w:ascii="Open Sans" w:eastAsia="Times New Roman" w:hAnsi="Open Sans" w:cs="Open Sans"/>
          <w:color w:val="000000"/>
        </w:rPr>
        <w:t>., &amp; Kumari, A. (2019). Weight management module for perimenopausal women: A practical guide for gynecologists. </w:t>
      </w:r>
      <w:r w:rsidRPr="00B57D4F">
        <w:rPr>
          <w:rFonts w:ascii="Open Sans" w:eastAsia="Times New Roman" w:hAnsi="Open Sans" w:cs="Open Sans"/>
          <w:i/>
          <w:iCs/>
          <w:color w:val="000000"/>
        </w:rPr>
        <w:t>Journal of Mid-Life Health</w:t>
      </w:r>
      <w:r w:rsidRPr="00B57D4F">
        <w:rPr>
          <w:rFonts w:ascii="Open Sans" w:eastAsia="Times New Roman" w:hAnsi="Open Sans" w:cs="Open Sans"/>
          <w:color w:val="000000"/>
        </w:rPr>
        <w:t>, </w:t>
      </w:r>
      <w:r w:rsidRPr="00B57D4F">
        <w:rPr>
          <w:rFonts w:ascii="Open Sans" w:eastAsia="Times New Roman" w:hAnsi="Open Sans" w:cs="Open Sans"/>
          <w:i/>
          <w:iCs/>
          <w:color w:val="000000"/>
        </w:rPr>
        <w:t>10</w:t>
      </w:r>
      <w:r w:rsidRPr="00B57D4F">
        <w:rPr>
          <w:rFonts w:ascii="Open Sans" w:eastAsia="Times New Roman" w:hAnsi="Open Sans" w:cs="Open Sans"/>
          <w:color w:val="000000"/>
        </w:rPr>
        <w:t>(4), 165. https://doi.org/10.4103/jmh.jmh_155_19</w:t>
      </w:r>
    </w:p>
    <w:p w14:paraId="12C201CA"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 xml:space="preserve">Fletcher, G. S. (2021). Clinical </w:t>
      </w:r>
      <w:proofErr w:type="gramStart"/>
      <w:r w:rsidRPr="00B57D4F">
        <w:rPr>
          <w:rFonts w:ascii="Open Sans" w:eastAsia="Times New Roman" w:hAnsi="Open Sans" w:cs="Open Sans"/>
          <w:color w:val="000000"/>
        </w:rPr>
        <w:t>epidemiology :</w:t>
      </w:r>
      <w:proofErr w:type="gramEnd"/>
      <w:r w:rsidRPr="00B57D4F">
        <w:rPr>
          <w:rFonts w:ascii="Open Sans" w:eastAsia="Times New Roman" w:hAnsi="Open Sans" w:cs="Open Sans"/>
          <w:color w:val="000000"/>
        </w:rPr>
        <w:t xml:space="preserve"> the essentials. Editorial: </w:t>
      </w:r>
      <w:proofErr w:type="gramStart"/>
      <w:r w:rsidRPr="00B57D4F">
        <w:rPr>
          <w:rFonts w:ascii="Open Sans" w:eastAsia="Times New Roman" w:hAnsi="Open Sans" w:cs="Open Sans"/>
          <w:color w:val="000000"/>
        </w:rPr>
        <w:t>Philadelphia ;</w:t>
      </w:r>
      <w:proofErr w:type="gramEnd"/>
      <w:r w:rsidRPr="00B57D4F">
        <w:rPr>
          <w:rFonts w:ascii="Open Sans" w:eastAsia="Times New Roman" w:hAnsi="Open Sans" w:cs="Open Sans"/>
          <w:color w:val="000000"/>
        </w:rPr>
        <w:t xml:space="preserve"> Baltimore ; New York Wolters Kluwer.</w:t>
      </w:r>
    </w:p>
    <w:p w14:paraId="37CB6CF0"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Martin, K., &amp; Barbieri, R. (2020, June 24). Treatment of menopausal symptoms with hormone therapy. Www.uptodate.com. https://www.uptodate.com/contents/treatment-of-menopausal-symptoms-with-hormone-therapy?search=hormonal%20therapy%20in%20women%20with%20family%20history%20of%20breast%20cancer&amp;topicRef=7392&amp;source=see_link#H357635050</w:t>
      </w:r>
    </w:p>
    <w:p w14:paraId="121F02C4" w14:textId="77777777" w:rsidR="00B57D4F" w:rsidRPr="00B57D4F" w:rsidRDefault="00B57D4F" w:rsidP="00B57D4F">
      <w:pPr>
        <w:spacing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lastRenderedPageBreak/>
        <w:t xml:space="preserve">Perreault, L., &amp; </w:t>
      </w:r>
      <w:proofErr w:type="spellStart"/>
      <w:r w:rsidRPr="00B57D4F">
        <w:rPr>
          <w:rFonts w:ascii="Open Sans" w:eastAsia="Times New Roman" w:hAnsi="Open Sans" w:cs="Open Sans"/>
          <w:color w:val="000000"/>
        </w:rPr>
        <w:t>Apovian</w:t>
      </w:r>
      <w:proofErr w:type="spellEnd"/>
      <w:r w:rsidRPr="00B57D4F">
        <w:rPr>
          <w:rFonts w:ascii="Open Sans" w:eastAsia="Times New Roman" w:hAnsi="Open Sans" w:cs="Open Sans"/>
          <w:color w:val="000000"/>
        </w:rPr>
        <w:t>, C. (2020, April 28). Obesity in adults: Overview of management. Up to Date. </w:t>
      </w:r>
      <w:hyperlink r:id="rId7" w:history="1">
        <w:r w:rsidRPr="00B57D4F">
          <w:rPr>
            <w:rFonts w:ascii="inherit" w:eastAsia="Times New Roman" w:hAnsi="inherit" w:cs="Open Sans"/>
            <w:color w:val="0000FF"/>
            <w:sz w:val="20"/>
            <w:szCs w:val="20"/>
            <w:u w:val="single"/>
            <w:bdr w:val="none" w:sz="0" w:space="0" w:color="auto" w:frame="1"/>
          </w:rPr>
          <w:t>https://www.uptodate.com/contents/obesity-in-adults-overview-of-management</w:t>
        </w:r>
      </w:hyperlink>
    </w:p>
    <w:p w14:paraId="4AB9C8EF"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Piercy, K. L., &amp; Troiano, R. P. (2018). Physical Activity Guidelines for Americans From the US Department of Health and Human Services. Circulation: Cardiovascular Quality and Outcomes, 11(11). https://doi.org/10.1161/circoutcomes.118.005263</w:t>
      </w:r>
    </w:p>
    <w:p w14:paraId="545E4759"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 xml:space="preserve">Rosenthal, L. D., &amp; Burchum, J. R. (2021). </w:t>
      </w:r>
      <w:proofErr w:type="spellStart"/>
      <w:r w:rsidRPr="00B57D4F">
        <w:rPr>
          <w:rFonts w:ascii="Open Sans" w:eastAsia="Times New Roman" w:hAnsi="Open Sans" w:cs="Open Sans"/>
          <w:color w:val="000000"/>
        </w:rPr>
        <w:t>Lehne’s</w:t>
      </w:r>
      <w:proofErr w:type="spellEnd"/>
      <w:r w:rsidRPr="00B57D4F">
        <w:rPr>
          <w:rFonts w:ascii="Open Sans" w:eastAsia="Times New Roman" w:hAnsi="Open Sans" w:cs="Open Sans"/>
          <w:color w:val="000000"/>
        </w:rPr>
        <w:t xml:space="preserve"> pharmacotherapeutics for advanced practice nurses and physician assistants (2nd ed.) St. Louis, MO: Elsevier.</w:t>
      </w:r>
    </w:p>
    <w:p w14:paraId="3FE408F5" w14:textId="77777777" w:rsidR="00B57D4F" w:rsidRPr="00B57D4F" w:rsidRDefault="00B57D4F" w:rsidP="00B57D4F">
      <w:pPr>
        <w:spacing w:after="240"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 xml:space="preserve">Santen, R., </w:t>
      </w:r>
      <w:proofErr w:type="spellStart"/>
      <w:r w:rsidRPr="00B57D4F">
        <w:rPr>
          <w:rFonts w:ascii="Open Sans" w:eastAsia="Times New Roman" w:hAnsi="Open Sans" w:cs="Open Sans"/>
          <w:color w:val="000000"/>
        </w:rPr>
        <w:t>Loprinzi</w:t>
      </w:r>
      <w:proofErr w:type="spellEnd"/>
      <w:r w:rsidRPr="00B57D4F">
        <w:rPr>
          <w:rFonts w:ascii="Open Sans" w:eastAsia="Times New Roman" w:hAnsi="Open Sans" w:cs="Open Sans"/>
          <w:color w:val="000000"/>
        </w:rPr>
        <w:t>, C., &amp; Casper, R. (2020, April 27). Menopausal hot flashes. Www.uptodate.com. https://www.uptodate.com/contents/menopausal-hot-flashes?search=hot%20flashes&amp;source=search_result&amp;selectedTitle=1~150&amp;usage_type=default&amp;display_rank=1</w:t>
      </w:r>
    </w:p>
    <w:p w14:paraId="2A3880DD" w14:textId="77777777" w:rsidR="00B57D4F" w:rsidRPr="00B57D4F" w:rsidRDefault="00B57D4F" w:rsidP="00B57D4F">
      <w:pPr>
        <w:spacing w:line="390" w:lineRule="atLeast"/>
        <w:ind w:hanging="720"/>
        <w:rPr>
          <w:rFonts w:ascii="Open Sans" w:eastAsia="Times New Roman" w:hAnsi="Open Sans" w:cs="Open Sans"/>
          <w:color w:val="000000"/>
        </w:rPr>
      </w:pPr>
      <w:r w:rsidRPr="00B57D4F">
        <w:rPr>
          <w:rFonts w:ascii="Open Sans" w:eastAsia="Times New Roman" w:hAnsi="Open Sans" w:cs="Open Sans"/>
          <w:color w:val="000000"/>
        </w:rPr>
        <w:t xml:space="preserve">Srivastava, G., Johnson, E. D., Earle, R. L., </w:t>
      </w:r>
      <w:proofErr w:type="spellStart"/>
      <w:r w:rsidRPr="00B57D4F">
        <w:rPr>
          <w:rFonts w:ascii="Open Sans" w:eastAsia="Times New Roman" w:hAnsi="Open Sans" w:cs="Open Sans"/>
          <w:color w:val="000000"/>
        </w:rPr>
        <w:t>Kadambi</w:t>
      </w:r>
      <w:proofErr w:type="spellEnd"/>
      <w:r w:rsidRPr="00B57D4F">
        <w:rPr>
          <w:rFonts w:ascii="Open Sans" w:eastAsia="Times New Roman" w:hAnsi="Open Sans" w:cs="Open Sans"/>
          <w:color w:val="000000"/>
        </w:rPr>
        <w:t xml:space="preserve">, N., </w:t>
      </w:r>
      <w:proofErr w:type="spellStart"/>
      <w:r w:rsidRPr="00B57D4F">
        <w:rPr>
          <w:rFonts w:ascii="Open Sans" w:eastAsia="Times New Roman" w:hAnsi="Open Sans" w:cs="Open Sans"/>
          <w:color w:val="000000"/>
        </w:rPr>
        <w:t>Pazin</w:t>
      </w:r>
      <w:proofErr w:type="spellEnd"/>
      <w:r w:rsidRPr="00B57D4F">
        <w:rPr>
          <w:rFonts w:ascii="Open Sans" w:eastAsia="Times New Roman" w:hAnsi="Open Sans" w:cs="Open Sans"/>
          <w:color w:val="000000"/>
        </w:rPr>
        <w:t xml:space="preserve">, D. E., &amp; Kaplan, L. M. (2018). </w:t>
      </w:r>
      <w:proofErr w:type="spellStart"/>
      <w:r w:rsidRPr="00B57D4F">
        <w:rPr>
          <w:rFonts w:ascii="Open Sans" w:eastAsia="Times New Roman" w:hAnsi="Open Sans" w:cs="Open Sans"/>
          <w:color w:val="000000"/>
        </w:rPr>
        <w:t>Underdocumentation</w:t>
      </w:r>
      <w:proofErr w:type="spellEnd"/>
      <w:r w:rsidRPr="00B57D4F">
        <w:rPr>
          <w:rFonts w:ascii="Open Sans" w:eastAsia="Times New Roman" w:hAnsi="Open Sans" w:cs="Open Sans"/>
          <w:color w:val="000000"/>
        </w:rPr>
        <w:t xml:space="preserve"> of Obesity by Medical Residents Highlights Challenges to Effective Obesity Care. Obesity, 26(8), 1277–1284. </w:t>
      </w:r>
      <w:hyperlink r:id="rId8" w:history="1">
        <w:r w:rsidRPr="00B57D4F">
          <w:rPr>
            <w:rFonts w:ascii="inherit" w:eastAsia="Times New Roman" w:hAnsi="inherit" w:cs="Open Sans"/>
            <w:color w:val="0000FF"/>
            <w:sz w:val="20"/>
            <w:szCs w:val="20"/>
            <w:u w:val="single"/>
            <w:bdr w:val="none" w:sz="0" w:space="0" w:color="auto" w:frame="1"/>
          </w:rPr>
          <w:t>https://doi.org/10.1002/oby.22219</w:t>
        </w:r>
      </w:hyperlink>
    </w:p>
    <w:p w14:paraId="54B45A4D" w14:textId="77777777" w:rsidR="00B57D4F" w:rsidRPr="00B57D4F" w:rsidRDefault="00B57D4F" w:rsidP="00B57D4F">
      <w:pPr>
        <w:spacing w:after="240" w:line="390" w:lineRule="atLeast"/>
        <w:ind w:hanging="720"/>
        <w:rPr>
          <w:rFonts w:ascii="Open Sans" w:eastAsia="Times New Roman" w:hAnsi="Open Sans" w:cs="Open Sans"/>
          <w:color w:val="000000"/>
        </w:rPr>
      </w:pPr>
      <w:proofErr w:type="spellStart"/>
      <w:r w:rsidRPr="00B57D4F">
        <w:rPr>
          <w:rFonts w:ascii="Open Sans" w:eastAsia="Times New Roman" w:hAnsi="Open Sans" w:cs="Open Sans"/>
          <w:color w:val="000000"/>
        </w:rPr>
        <w:t>Whelton</w:t>
      </w:r>
      <w:proofErr w:type="spellEnd"/>
      <w:r w:rsidRPr="00B57D4F">
        <w:rPr>
          <w:rFonts w:ascii="Open Sans" w:eastAsia="Times New Roman" w:hAnsi="Open Sans" w:cs="Open Sans"/>
          <w:color w:val="000000"/>
        </w:rPr>
        <w:t xml:space="preserve">, P. K., Carey, R. M., </w:t>
      </w:r>
      <w:proofErr w:type="spellStart"/>
      <w:r w:rsidRPr="00B57D4F">
        <w:rPr>
          <w:rFonts w:ascii="Open Sans" w:eastAsia="Times New Roman" w:hAnsi="Open Sans" w:cs="Open Sans"/>
          <w:color w:val="000000"/>
        </w:rPr>
        <w:t>Aronow</w:t>
      </w:r>
      <w:proofErr w:type="spellEnd"/>
      <w:r w:rsidRPr="00B57D4F">
        <w:rPr>
          <w:rFonts w:ascii="Open Sans" w:eastAsia="Times New Roman" w:hAnsi="Open Sans" w:cs="Open Sans"/>
          <w:color w:val="000000"/>
        </w:rPr>
        <w:t xml:space="preserve">, W. S., Casey, D. E., Collins, K. J., Dennison Himmelfarb, C., DePalma, S. M., </w:t>
      </w:r>
      <w:proofErr w:type="spellStart"/>
      <w:r w:rsidRPr="00B57D4F">
        <w:rPr>
          <w:rFonts w:ascii="Open Sans" w:eastAsia="Times New Roman" w:hAnsi="Open Sans" w:cs="Open Sans"/>
          <w:color w:val="000000"/>
        </w:rPr>
        <w:t>Gidding</w:t>
      </w:r>
      <w:proofErr w:type="spellEnd"/>
      <w:r w:rsidRPr="00B57D4F">
        <w:rPr>
          <w:rFonts w:ascii="Open Sans" w:eastAsia="Times New Roman" w:hAnsi="Open Sans" w:cs="Open Sans"/>
          <w:color w:val="000000"/>
        </w:rPr>
        <w:t xml:space="preserve">, S., Jamerson, K. A., Jones, D. W., </w:t>
      </w:r>
      <w:proofErr w:type="spellStart"/>
      <w:r w:rsidRPr="00B57D4F">
        <w:rPr>
          <w:rFonts w:ascii="Open Sans" w:eastAsia="Times New Roman" w:hAnsi="Open Sans" w:cs="Open Sans"/>
          <w:color w:val="000000"/>
        </w:rPr>
        <w:t>MacLaughlin</w:t>
      </w:r>
      <w:proofErr w:type="spellEnd"/>
      <w:r w:rsidRPr="00B57D4F">
        <w:rPr>
          <w:rFonts w:ascii="Open Sans" w:eastAsia="Times New Roman" w:hAnsi="Open Sans" w:cs="Open Sans"/>
          <w:color w:val="000000"/>
        </w:rPr>
        <w:t xml:space="preserve">, E. J., </w:t>
      </w:r>
      <w:proofErr w:type="spellStart"/>
      <w:r w:rsidRPr="00B57D4F">
        <w:rPr>
          <w:rFonts w:ascii="Open Sans" w:eastAsia="Times New Roman" w:hAnsi="Open Sans" w:cs="Open Sans"/>
          <w:color w:val="000000"/>
        </w:rPr>
        <w:t>Muntner</w:t>
      </w:r>
      <w:proofErr w:type="spellEnd"/>
      <w:r w:rsidRPr="00B57D4F">
        <w:rPr>
          <w:rFonts w:ascii="Open Sans" w:eastAsia="Times New Roman" w:hAnsi="Open Sans" w:cs="Open Sans"/>
          <w:color w:val="000000"/>
        </w:rPr>
        <w:t xml:space="preserve">, P., </w:t>
      </w:r>
      <w:proofErr w:type="spellStart"/>
      <w:r w:rsidRPr="00B57D4F">
        <w:rPr>
          <w:rFonts w:ascii="Open Sans" w:eastAsia="Times New Roman" w:hAnsi="Open Sans" w:cs="Open Sans"/>
          <w:color w:val="000000"/>
        </w:rPr>
        <w:t>Ovbiagele</w:t>
      </w:r>
      <w:proofErr w:type="spellEnd"/>
      <w:r w:rsidRPr="00B57D4F">
        <w:rPr>
          <w:rFonts w:ascii="Open Sans" w:eastAsia="Times New Roman" w:hAnsi="Open Sans" w:cs="Open Sans"/>
          <w:color w:val="000000"/>
        </w:rPr>
        <w:t>, B., Smith, S. C., Spencer, C. C., Stafford, R. S., Taler, S. J., Thomas, R. J., Williams, K. A., &amp; Williamson, J. D. (2018). 2017 ACC/AHA/AAPA/ABC/ACPM/AGS/</w:t>
      </w:r>
      <w:proofErr w:type="spellStart"/>
      <w:r w:rsidRPr="00B57D4F">
        <w:rPr>
          <w:rFonts w:ascii="Open Sans" w:eastAsia="Times New Roman" w:hAnsi="Open Sans" w:cs="Open Sans"/>
          <w:color w:val="000000"/>
        </w:rPr>
        <w:t>APhA</w:t>
      </w:r>
      <w:proofErr w:type="spellEnd"/>
      <w:r w:rsidRPr="00B57D4F">
        <w:rPr>
          <w:rFonts w:ascii="Open Sans" w:eastAsia="Times New Roman" w:hAnsi="Open Sans" w:cs="Open Sans"/>
          <w:color w:val="000000"/>
        </w:rPr>
        <w:t>/ASH/ASPC/NMA/PCNA Guideline for the Prevention, Detection, Evaluation, and Management of High Blood Pressure in Adults. Journal of the American College of Cardiology, 71(19), e127–e248. https://doi.org/10.1016/j.jacc.2017.11.006</w:t>
      </w:r>
    </w:p>
    <w:p w14:paraId="16E32A32" w14:textId="25F928C5" w:rsidR="00B57D4F" w:rsidRDefault="00B57D4F"/>
    <w:p w14:paraId="629DDD83" w14:textId="5D47E386" w:rsidR="00B57D4F" w:rsidRDefault="00B57D4F"/>
    <w:p w14:paraId="29F06BF7" w14:textId="076AA5DF" w:rsidR="00B57D4F" w:rsidRDefault="00B57D4F"/>
    <w:p w14:paraId="216A05E6" w14:textId="7B7110A2" w:rsidR="00B57D4F" w:rsidRDefault="00B57D4F"/>
    <w:p w14:paraId="3B980D04" w14:textId="53381729" w:rsidR="00B57D4F" w:rsidRDefault="00B57D4F"/>
    <w:p w14:paraId="29DD6F64" w14:textId="2F070D98" w:rsidR="00B57D4F" w:rsidRDefault="00B57D4F"/>
    <w:p w14:paraId="3CA157E3" w14:textId="14B566E0" w:rsidR="00B57D4F" w:rsidRDefault="00B57D4F"/>
    <w:p w14:paraId="0E3856D3" w14:textId="2267A004" w:rsidR="00B57D4F" w:rsidRDefault="00B57D4F"/>
    <w:p w14:paraId="7C72783D" w14:textId="4E7BC49B" w:rsidR="00B57D4F" w:rsidRDefault="00B57D4F"/>
    <w:p w14:paraId="7D323F4D" w14:textId="0BB37ABE" w:rsidR="00B57D4F" w:rsidRDefault="00B57D4F"/>
    <w:p w14:paraId="7F78719C" w14:textId="4AAB5C6A" w:rsidR="00B57D4F" w:rsidRDefault="00B57D4F"/>
    <w:p w14:paraId="2B053A55" w14:textId="3E41A447" w:rsidR="00B57D4F" w:rsidRPr="00B57D4F" w:rsidRDefault="00B57D4F">
      <w:pPr>
        <w:rPr>
          <w:b/>
          <w:bCs/>
        </w:rPr>
      </w:pPr>
      <w:r w:rsidRPr="00B57D4F">
        <w:rPr>
          <w:b/>
          <w:bCs/>
          <w:highlight w:val="yellow"/>
        </w:rPr>
        <w:lastRenderedPageBreak/>
        <w:t>2</w:t>
      </w:r>
      <w:r w:rsidRPr="00B57D4F">
        <w:rPr>
          <w:b/>
          <w:bCs/>
          <w:highlight w:val="yellow"/>
          <w:vertAlign w:val="superscript"/>
        </w:rPr>
        <w:t>nd</w:t>
      </w:r>
      <w:r w:rsidRPr="00B57D4F">
        <w:rPr>
          <w:b/>
          <w:bCs/>
          <w:highlight w:val="yellow"/>
        </w:rPr>
        <w:t xml:space="preserve"> Discussion to Reply to</w:t>
      </w:r>
      <w:r w:rsidRPr="00B57D4F">
        <w:rPr>
          <w:b/>
          <w:bCs/>
        </w:rPr>
        <w:t xml:space="preserve"> </w:t>
      </w:r>
    </w:p>
    <w:p w14:paraId="25153584" w14:textId="7748202A" w:rsidR="00B57D4F" w:rsidRDefault="00B57D4F"/>
    <w:p w14:paraId="5A7798B2"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xml:space="preserve">   A 46-year-old female patient presents to her gynecologist for her annual GYN examination. She would also like to discuss hot flashes, night sweats, and genitourinary symptoms that started one month ago. Her past medical history includes hypertension, Atypical squamous cells of undetermined significance (ASCUS) five years ago, with subsequent pap smears being regular. She has a family history of breast cancer and is up to date on her yearly mammograms. She reports regular monthly menstrual cycles, with her last menstrual period being one month ago. She weighs 230 </w:t>
      </w:r>
      <w:proofErr w:type="spellStart"/>
      <w:r w:rsidRPr="00B57D4F">
        <w:rPr>
          <w:rFonts w:ascii="Open Sans" w:eastAsia="Times New Roman" w:hAnsi="Open Sans" w:cs="Open Sans"/>
          <w:color w:val="000000"/>
        </w:rPr>
        <w:t>lbs</w:t>
      </w:r>
      <w:proofErr w:type="spellEnd"/>
      <w:r w:rsidRPr="00B57D4F">
        <w:rPr>
          <w:rFonts w:ascii="Open Sans" w:eastAsia="Times New Roman" w:hAnsi="Open Sans" w:cs="Open Sans"/>
          <w:color w:val="000000"/>
        </w:rPr>
        <w:t xml:space="preserve"> with a blood pressure reading of 150/90. Her home medications include Norvasc 10 mg daily and Hydrochlorothiazide 25 mg daily.</w:t>
      </w:r>
    </w:p>
    <w:p w14:paraId="3929C266"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b/>
          <w:bCs/>
          <w:color w:val="000000"/>
        </w:rPr>
        <w:t>Health Needs</w:t>
      </w:r>
    </w:p>
    <w:p w14:paraId="1213A5D0"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b/>
          <w:bCs/>
          <w:color w:val="000000"/>
        </w:rPr>
        <w:t>            </w:t>
      </w:r>
      <w:r w:rsidRPr="00B57D4F">
        <w:rPr>
          <w:rFonts w:ascii="Open Sans" w:eastAsia="Times New Roman" w:hAnsi="Open Sans" w:cs="Open Sans"/>
          <w:color w:val="000000"/>
        </w:rPr>
        <w:t xml:space="preserve">The patient is most likely beginning to transition into menopause as supported by her age and complaints of hot flashes, night sweats, and genitourinary symptoms. Cessation of ovulation (menopause) occurs between the ages of 40 and 60 years. However, perimenopause is the transitional period that occurs 10 to 5 years before with regular monthly menstrual cycles (McCance &amp; </w:t>
      </w:r>
      <w:proofErr w:type="spellStart"/>
      <w:r w:rsidRPr="00B57D4F">
        <w:rPr>
          <w:rFonts w:ascii="Open Sans" w:eastAsia="Times New Roman" w:hAnsi="Open Sans" w:cs="Open Sans"/>
          <w:color w:val="000000"/>
        </w:rPr>
        <w:t>Huether</w:t>
      </w:r>
      <w:proofErr w:type="spellEnd"/>
      <w:r w:rsidRPr="00B57D4F">
        <w:rPr>
          <w:rFonts w:ascii="Open Sans" w:eastAsia="Times New Roman" w:hAnsi="Open Sans" w:cs="Open Sans"/>
          <w:color w:val="000000"/>
        </w:rPr>
        <w:t>, 2019). Despite having monthly menstrual cycles, perimenopause is followed by hormonal changes. Erratic changes in hormonal levels such as estradiol and progesterone during perimenopause can be causing the patient's symptoms. For example, genitourinary tract changes result from decreased estrogen levels resulting in the urethra and vaginal epithelium degenerative changes, leading to urinary urgency, incontinence, and frequency, along with urinary tract infections and vaginal dryness (Rosenthal &amp; Burchum, 2021). Estrogen loss also causes vasomotor symptoms, sleep disturbances, and physiologic changes, including bone loss and altered lipid metabolism. Controlling the patient's symptoms and reducing chronic diseases is essential when caring for patients during any phase of menopause. Postmenopausal women are at risk for developing Coronary heart disease (CHD), stroke, hip fracture, breast cancer, colorectal cancer, and endometrial cancer due to the decreased levels of estrogen or progesterone (Virginia, Peterson, Wilbur, &amp; Reinhold, 2017).  </w:t>
      </w:r>
    </w:p>
    <w:p w14:paraId="16CCDF7A"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b/>
          <w:bCs/>
          <w:color w:val="000000"/>
        </w:rPr>
        <w:lastRenderedPageBreak/>
        <w:t>Recommended treatment regimen</w:t>
      </w:r>
    </w:p>
    <w:p w14:paraId="4CA606AA"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b/>
          <w:bCs/>
          <w:color w:val="000000"/>
        </w:rPr>
        <w:t>            </w:t>
      </w:r>
      <w:r w:rsidRPr="00B57D4F">
        <w:rPr>
          <w:rFonts w:ascii="Open Sans" w:eastAsia="Times New Roman" w:hAnsi="Open Sans" w:cs="Open Sans"/>
          <w:color w:val="000000"/>
        </w:rPr>
        <w:t>Treatment recommendations are centered around minimizing symptoms, reducing the risks of chronic diseases and complications related to estrogen deficiency. Traditional treatment involves hormone therapy (HT) that includes estrogen either with or without the addition of progestin (Rosenthal &amp; Burchum, 2021). HT can be given easily through oral, transdermal, or intravaginally with most patients experiencing symptom relief (Virginia, Peterson, Wilbur, &amp; Reinhold, 2017). The use of HT comes with additional risk and can be contraindicated at times. For example, the use of estrogen is contraindicated in patients who have estrogen-dependent cancers, and progestin is contraindicated in patients with active liver disease and carcinoma of the breast (Rosenthal &amp; Burchum, 2021).  </w:t>
      </w:r>
    </w:p>
    <w:p w14:paraId="185A7C34"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xml:space="preserve">            With the patient's increased risk due to a family history of breast cancer and history of ASCUS, an alternative treatment may need to be considered. Serotonin reuptake inhibitors (SSRI) and Selective serotonin-norepinephrine reuptake inhibitors (SNRIs) have shown to be successful in providing relief of vasomotor symptoms (McCance &amp; </w:t>
      </w:r>
      <w:proofErr w:type="spellStart"/>
      <w:r w:rsidRPr="00B57D4F">
        <w:rPr>
          <w:rFonts w:ascii="Open Sans" w:eastAsia="Times New Roman" w:hAnsi="Open Sans" w:cs="Open Sans"/>
          <w:color w:val="000000"/>
        </w:rPr>
        <w:t>Huether</w:t>
      </w:r>
      <w:proofErr w:type="spellEnd"/>
      <w:r w:rsidRPr="00B57D4F">
        <w:rPr>
          <w:rFonts w:ascii="Open Sans" w:eastAsia="Times New Roman" w:hAnsi="Open Sans" w:cs="Open Sans"/>
          <w:color w:val="000000"/>
        </w:rPr>
        <w:t>, 2019). If the patient is interested in using medication to treat her symptoms, citalopram 10 mg by mouth daily could be started. It is essential to educate the patient that it may take four to eight weeks of treatment with SSRIs or SNRIs to see an expected 30% to 75% reduction in hot flashes (Virginia, Peterson, Wilbur, &amp; Reinhold, 2017). Also, utilizing any SSRI or SNRI comes with possible weight gain, dry mouth, sexual dysfunction, and constipation as side effects (Rosenthal &amp; Burchum, 2021).</w:t>
      </w:r>
    </w:p>
    <w:p w14:paraId="625BA590"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xml:space="preserve">            Additional information would be warranted before deciding on any changes to the patient's medications. Her current blood pressure may indicate uncontrolled hypertension, as evidence by a blood pressure of 150/90. However, one single blood pressure without additional information does not always tell the entire picture. Was the blood pressure rechecked after the patient had time to relax once coming into her appointment? Was she experiencing any symptoms that would cause increased blood pressure? Has she been compliant with her current medications? Adjustments to her current blood pressure medication could include </w:t>
      </w:r>
      <w:r w:rsidRPr="00B57D4F">
        <w:rPr>
          <w:rFonts w:ascii="Open Sans" w:eastAsia="Times New Roman" w:hAnsi="Open Sans" w:cs="Open Sans"/>
          <w:color w:val="000000"/>
        </w:rPr>
        <w:lastRenderedPageBreak/>
        <w:t>increasing HCTZ to 50 mg daily with continued electrolyte monitoring to ensure hemodynamic stability.</w:t>
      </w:r>
    </w:p>
    <w:p w14:paraId="70EB7ADF" w14:textId="77777777" w:rsidR="00B57D4F" w:rsidRPr="00B57D4F" w:rsidRDefault="00B57D4F" w:rsidP="00B57D4F">
      <w:pPr>
        <w:spacing w:after="240"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Suppose the patient is interested in taking a medication for her vasomotor symptoms (VMS). In that case, clonidine is a beta two agonist used to treat high blood pressure and help treat VMS related to menopause (Virginia, Peterson, Wilbur, &amp; Reinhold, 2017). Starting with low doses and monitoring clinical effects is essential. Clonidine for menopausal treatment is started at 0.1 mg daily, with improvement in symptoms seen in four to six weeks (Virginia, Peterson, Wilbur, &amp; Reinhold, 2017).</w:t>
      </w:r>
    </w:p>
    <w:p w14:paraId="14D5BCFE"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b/>
          <w:bCs/>
          <w:color w:val="000000"/>
        </w:rPr>
        <w:t>Patient education strategy</w:t>
      </w:r>
    </w:p>
    <w:p w14:paraId="66C0190A"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b/>
          <w:bCs/>
          <w:color w:val="000000"/>
        </w:rPr>
        <w:t>            </w:t>
      </w:r>
      <w:r w:rsidRPr="00B57D4F">
        <w:rPr>
          <w:rFonts w:ascii="Open Sans" w:eastAsia="Times New Roman" w:hAnsi="Open Sans" w:cs="Open Sans"/>
          <w:color w:val="000000"/>
        </w:rPr>
        <w:t>Providing patients with education and options surrounding non-pharmacological interventions is equally important as giving a detailed explanation of the risks and benefits of prescribed pharmacological interventions. Depending on the severity of the patient's symptoms, she may prefer to explore an alternative to pharmacological interventions first. Providing education on diet modifications, exercise, stress management, lifestyle changes, and other possible over-the-counter supplements (Virginia, Peterson, Wilbur, &amp; Reinhold, 2017).</w:t>
      </w:r>
    </w:p>
    <w:p w14:paraId="728D7A62" w14:textId="77777777" w:rsidR="00B57D4F" w:rsidRPr="00B57D4F" w:rsidRDefault="00B57D4F" w:rsidP="00B57D4F">
      <w:pPr>
        <w:spacing w:after="240" w:line="390" w:lineRule="atLeast"/>
        <w:ind w:firstLine="720"/>
        <w:rPr>
          <w:rFonts w:ascii="Open Sans" w:eastAsia="Times New Roman" w:hAnsi="Open Sans" w:cs="Open Sans"/>
          <w:color w:val="000000"/>
        </w:rPr>
      </w:pPr>
      <w:r w:rsidRPr="00B57D4F">
        <w:rPr>
          <w:rFonts w:ascii="Open Sans" w:eastAsia="Times New Roman" w:hAnsi="Open Sans" w:cs="Open Sans"/>
          <w:color w:val="000000"/>
        </w:rPr>
        <w:t>Not only is it essential to offer an alternative, but it is also important to address possible contraindications of adding some over-the-counter medications. For example, St. John's wort is often used to treat mood swings. Still, it should not be used with any antidepressant medication (Virginia, Peterson, Wilbur, &amp; Reinhold, 2017).</w:t>
      </w:r>
    </w:p>
    <w:p w14:paraId="389CF511"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xml:space="preserve">            Regardless of utilizing any intervention, educating general health maintenance for aging women should be a priority. Health maintenance should include screening for osteoporosis, obesity, fasting lipid and blood glucose, blood pressure evaluation to screen for cardiovascular disease, clinical and monthly self-breast examinations, pelvic exams, and pap smears should all be included in educating the patient (McCance &amp; </w:t>
      </w:r>
      <w:proofErr w:type="spellStart"/>
      <w:r w:rsidRPr="00B57D4F">
        <w:rPr>
          <w:rFonts w:ascii="Open Sans" w:eastAsia="Times New Roman" w:hAnsi="Open Sans" w:cs="Open Sans"/>
          <w:color w:val="000000"/>
        </w:rPr>
        <w:t>Huether</w:t>
      </w:r>
      <w:proofErr w:type="spellEnd"/>
      <w:r w:rsidRPr="00B57D4F">
        <w:rPr>
          <w:rFonts w:ascii="Open Sans" w:eastAsia="Times New Roman" w:hAnsi="Open Sans" w:cs="Open Sans"/>
          <w:color w:val="000000"/>
        </w:rPr>
        <w:t>, 2019).</w:t>
      </w:r>
    </w:p>
    <w:p w14:paraId="78726391"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color w:val="000000"/>
        </w:rPr>
        <w:t>Conclusion</w:t>
      </w:r>
    </w:p>
    <w:p w14:paraId="57629C13"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lastRenderedPageBreak/>
        <w:t>            There are many different options available for the patient and practitioner to discuss and determine what is best for the patient. Including patients in the decision when making medication changes or additions will help ensure the best decision for the patient is made. Just as each patient's symptoms associated with menopause are individualized, so should the treatment.</w:t>
      </w:r>
    </w:p>
    <w:p w14:paraId="7D0A5C0A"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w:t>
      </w:r>
    </w:p>
    <w:p w14:paraId="1179F55B" w14:textId="77777777" w:rsidR="00B57D4F" w:rsidRPr="00B57D4F" w:rsidRDefault="00B57D4F" w:rsidP="00B57D4F">
      <w:pPr>
        <w:spacing w:after="240" w:line="390" w:lineRule="atLeast"/>
        <w:jc w:val="center"/>
        <w:rPr>
          <w:rFonts w:ascii="Open Sans" w:eastAsia="Times New Roman" w:hAnsi="Open Sans" w:cs="Open Sans"/>
          <w:color w:val="000000"/>
        </w:rPr>
      </w:pPr>
      <w:r w:rsidRPr="00B57D4F">
        <w:rPr>
          <w:rFonts w:ascii="Open Sans" w:eastAsia="Times New Roman" w:hAnsi="Open Sans" w:cs="Open Sans"/>
          <w:color w:val="000000"/>
        </w:rPr>
        <w:t>References</w:t>
      </w:r>
    </w:p>
    <w:p w14:paraId="0EC65225" w14:textId="77777777" w:rsidR="00B57D4F" w:rsidRPr="00B57D4F" w:rsidRDefault="00B57D4F" w:rsidP="00B57D4F">
      <w:pPr>
        <w:spacing w:after="240" w:line="390" w:lineRule="atLeast"/>
        <w:ind w:left="720" w:hanging="720"/>
        <w:rPr>
          <w:rFonts w:ascii="Open Sans" w:eastAsia="Times New Roman" w:hAnsi="Open Sans" w:cs="Open Sans"/>
          <w:color w:val="000000"/>
        </w:rPr>
      </w:pPr>
      <w:r w:rsidRPr="00B57D4F">
        <w:rPr>
          <w:rFonts w:ascii="Open Sans" w:eastAsia="Times New Roman" w:hAnsi="Open Sans" w:cs="Open Sans"/>
          <w:color w:val="000000"/>
        </w:rPr>
        <w:t xml:space="preserve">McCance, K. L., &amp; </w:t>
      </w:r>
      <w:proofErr w:type="spellStart"/>
      <w:r w:rsidRPr="00B57D4F">
        <w:rPr>
          <w:rFonts w:ascii="Open Sans" w:eastAsia="Times New Roman" w:hAnsi="Open Sans" w:cs="Open Sans"/>
          <w:color w:val="000000"/>
        </w:rPr>
        <w:t>Huether</w:t>
      </w:r>
      <w:proofErr w:type="spellEnd"/>
      <w:r w:rsidRPr="00B57D4F">
        <w:rPr>
          <w:rFonts w:ascii="Open Sans" w:eastAsia="Times New Roman" w:hAnsi="Open Sans" w:cs="Open Sans"/>
          <w:color w:val="000000"/>
        </w:rPr>
        <w:t>, S. E. (2019). </w:t>
      </w:r>
      <w:r w:rsidRPr="00B57D4F">
        <w:rPr>
          <w:rFonts w:ascii="Open Sans" w:eastAsia="Times New Roman" w:hAnsi="Open Sans" w:cs="Open Sans"/>
          <w:i/>
          <w:iCs/>
          <w:color w:val="000000"/>
        </w:rPr>
        <w:t>Pathophysiology: The biologic basis for disease in adults and children</w:t>
      </w:r>
      <w:r w:rsidRPr="00B57D4F">
        <w:rPr>
          <w:rFonts w:ascii="Open Sans" w:eastAsia="Times New Roman" w:hAnsi="Open Sans" w:cs="Open Sans"/>
          <w:color w:val="000000"/>
        </w:rPr>
        <w:t> (8th ed.). St. Louis, Missouri: Mosby/Elsevier.</w:t>
      </w:r>
    </w:p>
    <w:p w14:paraId="6949FDC0" w14:textId="77777777" w:rsidR="00B57D4F" w:rsidRPr="00B57D4F" w:rsidRDefault="00B57D4F" w:rsidP="00B57D4F">
      <w:pPr>
        <w:spacing w:after="240" w:line="390" w:lineRule="atLeast"/>
        <w:ind w:left="720" w:hanging="720"/>
        <w:rPr>
          <w:rFonts w:ascii="Open Sans" w:eastAsia="Times New Roman" w:hAnsi="Open Sans" w:cs="Open Sans"/>
          <w:color w:val="000000"/>
        </w:rPr>
      </w:pPr>
      <w:r w:rsidRPr="00B57D4F">
        <w:rPr>
          <w:rFonts w:ascii="Open Sans" w:eastAsia="Times New Roman" w:hAnsi="Open Sans" w:cs="Open Sans"/>
          <w:color w:val="000000"/>
        </w:rPr>
        <w:t>Rosenthal, L. D., &amp; Burchum, J. R. (2021). </w:t>
      </w:r>
      <w:proofErr w:type="spellStart"/>
      <w:r w:rsidRPr="00B57D4F">
        <w:rPr>
          <w:rFonts w:ascii="Open Sans" w:eastAsia="Times New Roman" w:hAnsi="Open Sans" w:cs="Open Sans"/>
          <w:i/>
          <w:iCs/>
          <w:color w:val="000000"/>
        </w:rPr>
        <w:t>Lehne's</w:t>
      </w:r>
      <w:proofErr w:type="spellEnd"/>
      <w:r w:rsidRPr="00B57D4F">
        <w:rPr>
          <w:rFonts w:ascii="Open Sans" w:eastAsia="Times New Roman" w:hAnsi="Open Sans" w:cs="Open Sans"/>
          <w:i/>
          <w:iCs/>
          <w:color w:val="000000"/>
        </w:rPr>
        <w:t xml:space="preserve"> pharmacotherapeutics for advanced practice nurses and physician assistants</w:t>
      </w:r>
      <w:r w:rsidRPr="00B57D4F">
        <w:rPr>
          <w:rFonts w:ascii="Open Sans" w:eastAsia="Times New Roman" w:hAnsi="Open Sans" w:cs="Open Sans"/>
          <w:color w:val="000000"/>
        </w:rPr>
        <w:t> (2nd ed.). St. Louise, MO: Elsevier.</w:t>
      </w:r>
    </w:p>
    <w:p w14:paraId="5698A450" w14:textId="77777777" w:rsidR="00B57D4F" w:rsidRPr="00B57D4F" w:rsidRDefault="00B57D4F" w:rsidP="00B57D4F">
      <w:pPr>
        <w:spacing w:after="240" w:line="390" w:lineRule="atLeast"/>
        <w:ind w:left="720" w:hanging="720"/>
        <w:rPr>
          <w:rFonts w:ascii="Open Sans" w:eastAsia="Times New Roman" w:hAnsi="Open Sans" w:cs="Open Sans"/>
          <w:color w:val="000000"/>
        </w:rPr>
      </w:pPr>
      <w:r w:rsidRPr="00B57D4F">
        <w:rPr>
          <w:rFonts w:ascii="Open Sans" w:eastAsia="Times New Roman" w:hAnsi="Open Sans" w:cs="Open Sans"/>
          <w:color w:val="000000"/>
        </w:rPr>
        <w:t>Virginia, A., Peterson, A., Wilbur, V., &amp; Reinhold, J. (2017). </w:t>
      </w:r>
      <w:r w:rsidRPr="00B57D4F">
        <w:rPr>
          <w:rFonts w:ascii="Open Sans" w:eastAsia="Times New Roman" w:hAnsi="Open Sans" w:cs="Open Sans"/>
          <w:i/>
          <w:iCs/>
          <w:color w:val="000000"/>
        </w:rPr>
        <w:t>Pharmacotherapeutics for advanced practice; A practical approach</w:t>
      </w:r>
      <w:r w:rsidRPr="00B57D4F">
        <w:rPr>
          <w:rFonts w:ascii="Open Sans" w:eastAsia="Times New Roman" w:hAnsi="Open Sans" w:cs="Open Sans"/>
          <w:color w:val="000000"/>
        </w:rPr>
        <w:t> (4th ed.). Philadelphia, PA: Wolters Kluwer.</w:t>
      </w:r>
    </w:p>
    <w:p w14:paraId="38E46AAD" w14:textId="77777777" w:rsidR="00B57D4F" w:rsidRPr="00B57D4F" w:rsidRDefault="00B57D4F" w:rsidP="00B57D4F">
      <w:pPr>
        <w:spacing w:after="240" w:line="390" w:lineRule="atLeast"/>
        <w:rPr>
          <w:rFonts w:ascii="Open Sans" w:eastAsia="Times New Roman" w:hAnsi="Open Sans" w:cs="Open Sans"/>
          <w:color w:val="000000"/>
        </w:rPr>
      </w:pPr>
      <w:r w:rsidRPr="00B57D4F">
        <w:rPr>
          <w:rFonts w:ascii="Open Sans" w:eastAsia="Times New Roman" w:hAnsi="Open Sans" w:cs="Open Sans"/>
          <w:color w:val="000000"/>
        </w:rPr>
        <w:t> </w:t>
      </w:r>
    </w:p>
    <w:p w14:paraId="2506EC70" w14:textId="77777777" w:rsidR="00B57D4F" w:rsidRDefault="00B57D4F"/>
    <w:sectPr w:rsidR="00B57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9686F"/>
    <w:multiLevelType w:val="multilevel"/>
    <w:tmpl w:val="6C0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F53345"/>
    <w:multiLevelType w:val="multilevel"/>
    <w:tmpl w:val="34FE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FB1E2E"/>
    <w:multiLevelType w:val="multilevel"/>
    <w:tmpl w:val="18A85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FE1D41"/>
    <w:multiLevelType w:val="multilevel"/>
    <w:tmpl w:val="012A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C32ED2"/>
    <w:multiLevelType w:val="multilevel"/>
    <w:tmpl w:val="F4A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4F"/>
    <w:rsid w:val="002353E7"/>
    <w:rsid w:val="00750651"/>
    <w:rsid w:val="00B5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50592"/>
  <w15:chartTrackingRefBased/>
  <w15:docId w15:val="{26B256E7-5BC9-CC4F-88FC-5F34D1C6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D4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57D4F"/>
  </w:style>
  <w:style w:type="character" w:styleId="Hyperlink">
    <w:name w:val="Hyperlink"/>
    <w:basedOn w:val="DefaultParagraphFont"/>
    <w:uiPriority w:val="99"/>
    <w:semiHidden/>
    <w:unhideWhenUsed/>
    <w:rsid w:val="00B5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909456">
      <w:bodyDiv w:val="1"/>
      <w:marLeft w:val="0"/>
      <w:marRight w:val="0"/>
      <w:marTop w:val="0"/>
      <w:marBottom w:val="0"/>
      <w:divBdr>
        <w:top w:val="none" w:sz="0" w:space="0" w:color="auto"/>
        <w:left w:val="none" w:sz="0" w:space="0" w:color="auto"/>
        <w:bottom w:val="none" w:sz="0" w:space="0" w:color="auto"/>
        <w:right w:val="none" w:sz="0" w:space="0" w:color="auto"/>
      </w:divBdr>
    </w:div>
    <w:div w:id="10132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oby.22219" TargetMode="External"/><Relationship Id="rId3" Type="http://schemas.openxmlformats.org/officeDocument/2006/relationships/settings" Target="settings.xml"/><Relationship Id="rId7" Type="http://schemas.openxmlformats.org/officeDocument/2006/relationships/hyperlink" Target="https://www.uptodate.com/contents/obesity-in-adults-overview-of-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scape.com/answers/1947145-155262/what-are-guidelines-for-hrt-in-women-at-high-risk-of-breast-cancer" TargetMode="External"/><Relationship Id="rId5" Type="http://schemas.openxmlformats.org/officeDocument/2006/relationships/hyperlink" Target="https://www.cdc.gov/nchs/fastats/body-measurement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3422</Words>
  <Characters>19510</Characters>
  <Application>Microsoft Office Word</Application>
  <DocSecurity>0</DocSecurity>
  <Lines>162</Lines>
  <Paragraphs>45</Paragraphs>
  <ScaleCrop>false</ScaleCrop>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2021-05-07T19:36:00Z</dcterms:created>
  <dcterms:modified xsi:type="dcterms:W3CDTF">2021-05-07T19:38:00Z</dcterms:modified>
</cp:coreProperties>
</file>